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1941A" w14:textId="373C5FBD" w:rsidR="003E582D" w:rsidRDefault="009D0E79" w:rsidP="00DA5B71">
      <w:pPr>
        <w:pStyle w:val="ListParagraph"/>
        <w:numPr>
          <w:ilvl w:val="0"/>
          <w:numId w:val="1"/>
        </w:numPr>
        <w:tabs>
          <w:tab w:val="left" w:pos="498"/>
        </w:tabs>
        <w:spacing w:before="240"/>
        <w:ind w:left="497"/>
        <w:jc w:val="both"/>
      </w:pPr>
      <w:bookmarkStart w:id="0" w:name="_GoBack"/>
      <w:bookmarkEnd w:id="0"/>
      <w:r>
        <w:t xml:space="preserve">The </w:t>
      </w:r>
      <w:r>
        <w:rPr>
          <w:spacing w:val="-3"/>
        </w:rPr>
        <w:t xml:space="preserve">Local </w:t>
      </w:r>
      <w:r>
        <w:rPr>
          <w:spacing w:val="-4"/>
        </w:rPr>
        <w:t xml:space="preserve">Government Electoral (Implementing </w:t>
      </w:r>
      <w:r>
        <w:rPr>
          <w:spacing w:val="-3"/>
        </w:rPr>
        <w:t xml:space="preserve">Stage </w:t>
      </w:r>
      <w:r>
        <w:t xml:space="preserve">2 </w:t>
      </w:r>
      <w:r>
        <w:rPr>
          <w:spacing w:val="-3"/>
        </w:rPr>
        <w:t xml:space="preserve">of </w:t>
      </w:r>
      <w:r>
        <w:rPr>
          <w:spacing w:val="-4"/>
        </w:rPr>
        <w:t xml:space="preserve">Belcarra) </w:t>
      </w:r>
      <w:r>
        <w:rPr>
          <w:spacing w:val="-3"/>
        </w:rPr>
        <w:t xml:space="preserve">and Other </w:t>
      </w:r>
      <w:r>
        <w:rPr>
          <w:spacing w:val="-5"/>
        </w:rPr>
        <w:t xml:space="preserve">Legislation </w:t>
      </w:r>
      <w:r>
        <w:rPr>
          <w:spacing w:val="-4"/>
        </w:rPr>
        <w:t xml:space="preserve">Amendment </w:t>
      </w:r>
      <w:r>
        <w:rPr>
          <w:spacing w:val="-3"/>
        </w:rPr>
        <w:t>Bill 201</w:t>
      </w:r>
      <w:r w:rsidR="00FA2108">
        <w:rPr>
          <w:spacing w:val="-3"/>
        </w:rPr>
        <w:t>9</w:t>
      </w:r>
      <w:r>
        <w:rPr>
          <w:spacing w:val="-3"/>
        </w:rPr>
        <w:t xml:space="preserve"> (the </w:t>
      </w:r>
      <w:r>
        <w:rPr>
          <w:spacing w:val="-4"/>
        </w:rPr>
        <w:t xml:space="preserve">Belcarra </w:t>
      </w:r>
      <w:r>
        <w:rPr>
          <w:spacing w:val="-3"/>
        </w:rPr>
        <w:t xml:space="preserve">Stage </w:t>
      </w:r>
      <w:r>
        <w:t xml:space="preserve">2 </w:t>
      </w:r>
      <w:r>
        <w:rPr>
          <w:spacing w:val="-4"/>
        </w:rPr>
        <w:t xml:space="preserve">Bill) proposes further amendments </w:t>
      </w:r>
      <w:r>
        <w:t xml:space="preserve">to </w:t>
      </w:r>
      <w:r>
        <w:rPr>
          <w:spacing w:val="-3"/>
        </w:rPr>
        <w:t xml:space="preserve">the </w:t>
      </w:r>
      <w:r>
        <w:rPr>
          <w:i/>
          <w:spacing w:val="-4"/>
        </w:rPr>
        <w:t xml:space="preserve">Local Government </w:t>
      </w:r>
      <w:r>
        <w:rPr>
          <w:i/>
          <w:spacing w:val="-3"/>
        </w:rPr>
        <w:t>Act 2009</w:t>
      </w:r>
      <w:r>
        <w:rPr>
          <w:spacing w:val="-3"/>
        </w:rPr>
        <w:t xml:space="preserve">, the </w:t>
      </w:r>
      <w:r>
        <w:rPr>
          <w:i/>
          <w:spacing w:val="-3"/>
        </w:rPr>
        <w:t xml:space="preserve">Local </w:t>
      </w:r>
      <w:r>
        <w:rPr>
          <w:i/>
          <w:spacing w:val="-4"/>
        </w:rPr>
        <w:t xml:space="preserve">Government Electoral </w:t>
      </w:r>
      <w:r>
        <w:rPr>
          <w:i/>
          <w:spacing w:val="-3"/>
        </w:rPr>
        <w:t xml:space="preserve">Act 2011 </w:t>
      </w:r>
      <w:r>
        <w:t xml:space="preserve">and the </w:t>
      </w:r>
      <w:r>
        <w:rPr>
          <w:i/>
          <w:spacing w:val="-4"/>
        </w:rPr>
        <w:t xml:space="preserve">City </w:t>
      </w:r>
      <w:r>
        <w:rPr>
          <w:i/>
        </w:rPr>
        <w:t xml:space="preserve">of </w:t>
      </w:r>
      <w:r>
        <w:rPr>
          <w:i/>
          <w:spacing w:val="-4"/>
        </w:rPr>
        <w:t xml:space="preserve">Brisbane </w:t>
      </w:r>
      <w:r>
        <w:rPr>
          <w:i/>
          <w:spacing w:val="-3"/>
        </w:rPr>
        <w:t xml:space="preserve">Act 2010 </w:t>
      </w:r>
      <w:r>
        <w:t xml:space="preserve">to </w:t>
      </w:r>
      <w:r>
        <w:rPr>
          <w:spacing w:val="-3"/>
        </w:rPr>
        <w:t xml:space="preserve">build on the intent of the </w:t>
      </w:r>
      <w:r>
        <w:rPr>
          <w:spacing w:val="-4"/>
        </w:rPr>
        <w:t xml:space="preserve">reforms </w:t>
      </w:r>
      <w:r>
        <w:t xml:space="preserve">in </w:t>
      </w:r>
      <w:r>
        <w:rPr>
          <w:spacing w:val="-3"/>
        </w:rPr>
        <w:t xml:space="preserve">the </w:t>
      </w:r>
      <w:r>
        <w:rPr>
          <w:spacing w:val="-4"/>
        </w:rPr>
        <w:t xml:space="preserve">Belcarra </w:t>
      </w:r>
      <w:r>
        <w:rPr>
          <w:spacing w:val="-3"/>
        </w:rPr>
        <w:t xml:space="preserve">Stage </w:t>
      </w:r>
      <w:r>
        <w:t xml:space="preserve">1 </w:t>
      </w:r>
      <w:r>
        <w:rPr>
          <w:spacing w:val="-3"/>
        </w:rPr>
        <w:t xml:space="preserve">Act </w:t>
      </w:r>
      <w:r>
        <w:t xml:space="preserve">and </w:t>
      </w:r>
      <w:r>
        <w:rPr>
          <w:spacing w:val="-4"/>
        </w:rPr>
        <w:t xml:space="preserve">progress </w:t>
      </w:r>
      <w:r>
        <w:t xml:space="preserve">the </w:t>
      </w:r>
      <w:r>
        <w:rPr>
          <w:spacing w:val="-4"/>
        </w:rPr>
        <w:t xml:space="preserve">Government’s ongoing program </w:t>
      </w:r>
      <w:r>
        <w:rPr>
          <w:spacing w:val="-3"/>
        </w:rPr>
        <w:t xml:space="preserve">of </w:t>
      </w:r>
      <w:r>
        <w:rPr>
          <w:spacing w:val="-4"/>
        </w:rPr>
        <w:t xml:space="preserve">reforms </w:t>
      </w:r>
      <w:r>
        <w:t xml:space="preserve">to </w:t>
      </w:r>
      <w:r>
        <w:rPr>
          <w:spacing w:val="-4"/>
        </w:rPr>
        <w:t xml:space="preserve">improve accountability, transparency, integrity </w:t>
      </w:r>
      <w:r>
        <w:t xml:space="preserve">and </w:t>
      </w:r>
      <w:r>
        <w:rPr>
          <w:spacing w:val="-3"/>
        </w:rPr>
        <w:t xml:space="preserve">public </w:t>
      </w:r>
      <w:r>
        <w:rPr>
          <w:spacing w:val="-4"/>
        </w:rPr>
        <w:t xml:space="preserve">confidence </w:t>
      </w:r>
      <w:r>
        <w:t xml:space="preserve">in </w:t>
      </w:r>
      <w:r>
        <w:rPr>
          <w:spacing w:val="-3"/>
        </w:rPr>
        <w:t xml:space="preserve">the Local </w:t>
      </w:r>
      <w:r>
        <w:rPr>
          <w:spacing w:val="-4"/>
        </w:rPr>
        <w:t xml:space="preserve">Government and </w:t>
      </w:r>
      <w:r>
        <w:rPr>
          <w:spacing w:val="-3"/>
        </w:rPr>
        <w:t xml:space="preserve">Local </w:t>
      </w:r>
      <w:r>
        <w:rPr>
          <w:spacing w:val="-4"/>
        </w:rPr>
        <w:t>Government</w:t>
      </w:r>
      <w:r>
        <w:rPr>
          <w:spacing w:val="-32"/>
        </w:rPr>
        <w:t xml:space="preserve"> </w:t>
      </w:r>
      <w:r>
        <w:rPr>
          <w:spacing w:val="-4"/>
        </w:rPr>
        <w:t>elections.</w:t>
      </w:r>
    </w:p>
    <w:p w14:paraId="08F1941C" w14:textId="7242A527" w:rsidR="003E582D" w:rsidRDefault="009D0E79" w:rsidP="00DA5B71">
      <w:pPr>
        <w:pStyle w:val="ListParagraph"/>
        <w:numPr>
          <w:ilvl w:val="0"/>
          <w:numId w:val="1"/>
        </w:numPr>
        <w:tabs>
          <w:tab w:val="left" w:pos="497"/>
        </w:tabs>
        <w:spacing w:before="240"/>
      </w:pPr>
      <w:r>
        <w:t xml:space="preserve">The </w:t>
      </w:r>
      <w:r>
        <w:rPr>
          <w:spacing w:val="-4"/>
        </w:rPr>
        <w:t xml:space="preserve">proposed reforms </w:t>
      </w:r>
      <w:r>
        <w:t xml:space="preserve">in </w:t>
      </w:r>
      <w:r>
        <w:rPr>
          <w:spacing w:val="-3"/>
        </w:rPr>
        <w:t xml:space="preserve">the </w:t>
      </w:r>
      <w:r>
        <w:rPr>
          <w:spacing w:val="-4"/>
        </w:rPr>
        <w:t xml:space="preserve">Belcarra </w:t>
      </w:r>
      <w:r>
        <w:rPr>
          <w:spacing w:val="-3"/>
        </w:rPr>
        <w:t xml:space="preserve">Stage </w:t>
      </w:r>
      <w:r>
        <w:t xml:space="preserve">2 </w:t>
      </w:r>
      <w:r>
        <w:rPr>
          <w:spacing w:val="-3"/>
        </w:rPr>
        <w:t xml:space="preserve">Bill </w:t>
      </w:r>
      <w:r>
        <w:rPr>
          <w:spacing w:val="-4"/>
        </w:rPr>
        <w:t>include amendments</w:t>
      </w:r>
      <w:r>
        <w:rPr>
          <w:spacing w:val="-40"/>
        </w:rPr>
        <w:t xml:space="preserve"> </w:t>
      </w:r>
      <w:r>
        <w:rPr>
          <w:spacing w:val="-3"/>
        </w:rPr>
        <w:t>to:</w:t>
      </w:r>
    </w:p>
    <w:p w14:paraId="08F1941D" w14:textId="77777777" w:rsidR="003E582D" w:rsidRDefault="009D0E79" w:rsidP="00DA5B71">
      <w:pPr>
        <w:pStyle w:val="ListParagraph"/>
        <w:numPr>
          <w:ilvl w:val="1"/>
          <w:numId w:val="1"/>
        </w:numPr>
        <w:tabs>
          <w:tab w:val="left" w:pos="850"/>
        </w:tabs>
        <w:spacing w:before="120" w:line="237" w:lineRule="auto"/>
        <w:ind w:hanging="355"/>
      </w:pPr>
      <w:r>
        <w:rPr>
          <w:spacing w:val="-4"/>
        </w:rPr>
        <w:t xml:space="preserve">strengthen </w:t>
      </w:r>
      <w:r>
        <w:t xml:space="preserve">the </w:t>
      </w:r>
      <w:r>
        <w:rPr>
          <w:spacing w:val="-4"/>
        </w:rPr>
        <w:t xml:space="preserve">State’s intervention powers </w:t>
      </w:r>
      <w:r>
        <w:t xml:space="preserve">in </w:t>
      </w:r>
      <w:r>
        <w:rPr>
          <w:spacing w:val="-4"/>
        </w:rPr>
        <w:t xml:space="preserve">relation </w:t>
      </w:r>
      <w:r>
        <w:t xml:space="preserve">to </w:t>
      </w:r>
      <w:r>
        <w:rPr>
          <w:spacing w:val="-3"/>
        </w:rPr>
        <w:t xml:space="preserve">Local </w:t>
      </w:r>
      <w:r>
        <w:rPr>
          <w:spacing w:val="-4"/>
        </w:rPr>
        <w:t xml:space="preserve">Governments </w:t>
      </w:r>
      <w:r>
        <w:t xml:space="preserve">to </w:t>
      </w:r>
      <w:r>
        <w:rPr>
          <w:spacing w:val="-3"/>
        </w:rPr>
        <w:t xml:space="preserve">allow </w:t>
      </w:r>
      <w:r>
        <w:rPr>
          <w:spacing w:val="-4"/>
        </w:rPr>
        <w:t xml:space="preserve">other </w:t>
      </w:r>
      <w:r>
        <w:rPr>
          <w:spacing w:val="-3"/>
        </w:rPr>
        <w:t xml:space="preserve">forms of </w:t>
      </w:r>
      <w:r>
        <w:rPr>
          <w:spacing w:val="-4"/>
        </w:rPr>
        <w:t xml:space="preserve">remedial action, </w:t>
      </w:r>
      <w:r>
        <w:rPr>
          <w:spacing w:val="-3"/>
        </w:rPr>
        <w:t xml:space="preserve">such as the </w:t>
      </w:r>
      <w:r>
        <w:rPr>
          <w:spacing w:val="-4"/>
        </w:rPr>
        <w:t xml:space="preserve">appointment </w:t>
      </w:r>
      <w:r>
        <w:rPr>
          <w:spacing w:val="-3"/>
        </w:rPr>
        <w:t xml:space="preserve">of </w:t>
      </w:r>
      <w:r>
        <w:rPr>
          <w:spacing w:val="-4"/>
        </w:rPr>
        <w:t xml:space="preserve">advisors </w:t>
      </w:r>
      <w:r>
        <w:rPr>
          <w:spacing w:val="-3"/>
        </w:rPr>
        <w:t xml:space="preserve">or </w:t>
      </w:r>
      <w:r>
        <w:t xml:space="preserve">a </w:t>
      </w:r>
      <w:r>
        <w:rPr>
          <w:spacing w:val="-4"/>
        </w:rPr>
        <w:t xml:space="preserve">financial controller </w:t>
      </w:r>
      <w:r>
        <w:rPr>
          <w:spacing w:val="-6"/>
        </w:rPr>
        <w:t xml:space="preserve">or </w:t>
      </w:r>
      <w:r>
        <w:rPr>
          <w:spacing w:val="-4"/>
        </w:rPr>
        <w:t xml:space="preserve">removing </w:t>
      </w:r>
      <w:r>
        <w:t xml:space="preserve">an </w:t>
      </w:r>
      <w:r>
        <w:rPr>
          <w:spacing w:val="-4"/>
        </w:rPr>
        <w:t xml:space="preserve">unsound decision, </w:t>
      </w:r>
      <w:r>
        <w:rPr>
          <w:spacing w:val="-3"/>
        </w:rPr>
        <w:t xml:space="preserve">where it is </w:t>
      </w:r>
      <w:r>
        <w:t xml:space="preserve">in </w:t>
      </w:r>
      <w:r>
        <w:rPr>
          <w:spacing w:val="-3"/>
        </w:rPr>
        <w:t xml:space="preserve">the </w:t>
      </w:r>
      <w:r>
        <w:rPr>
          <w:spacing w:val="-4"/>
        </w:rPr>
        <w:t xml:space="preserve">public interest </w:t>
      </w:r>
      <w:r>
        <w:t>to do</w:t>
      </w:r>
      <w:r>
        <w:rPr>
          <w:spacing w:val="-35"/>
        </w:rPr>
        <w:t xml:space="preserve"> </w:t>
      </w:r>
      <w:r>
        <w:rPr>
          <w:spacing w:val="-3"/>
        </w:rPr>
        <w:t>so;</w:t>
      </w:r>
    </w:p>
    <w:p w14:paraId="08F1941E" w14:textId="77777777" w:rsidR="003E582D" w:rsidRDefault="009D0E79" w:rsidP="00DA5B71">
      <w:pPr>
        <w:pStyle w:val="ListParagraph"/>
        <w:numPr>
          <w:ilvl w:val="1"/>
          <w:numId w:val="1"/>
        </w:numPr>
        <w:tabs>
          <w:tab w:val="left" w:pos="850"/>
        </w:tabs>
        <w:spacing w:before="120" w:line="237" w:lineRule="auto"/>
        <w:ind w:hanging="355"/>
      </w:pPr>
      <w:r>
        <w:rPr>
          <w:spacing w:val="-4"/>
        </w:rPr>
        <w:t xml:space="preserve">implements </w:t>
      </w:r>
      <w:r>
        <w:rPr>
          <w:spacing w:val="-3"/>
        </w:rPr>
        <w:t xml:space="preserve">the </w:t>
      </w:r>
      <w:r>
        <w:rPr>
          <w:spacing w:val="-4"/>
        </w:rPr>
        <w:t xml:space="preserve">Government’s response </w:t>
      </w:r>
      <w:r>
        <w:t xml:space="preserve">to </w:t>
      </w:r>
      <w:r>
        <w:rPr>
          <w:spacing w:val="-4"/>
        </w:rPr>
        <w:t xml:space="preserve">additional recommendations </w:t>
      </w:r>
      <w:r>
        <w:rPr>
          <w:spacing w:val="-3"/>
        </w:rPr>
        <w:t xml:space="preserve">of the </w:t>
      </w:r>
      <w:r>
        <w:rPr>
          <w:spacing w:val="-4"/>
        </w:rPr>
        <w:t>Belcarra Report;</w:t>
      </w:r>
    </w:p>
    <w:p w14:paraId="08F19420" w14:textId="22F0D007" w:rsidR="003E582D" w:rsidRDefault="009D0E79" w:rsidP="00DA5B71">
      <w:pPr>
        <w:pStyle w:val="ListParagraph"/>
        <w:numPr>
          <w:ilvl w:val="1"/>
          <w:numId w:val="1"/>
        </w:numPr>
        <w:tabs>
          <w:tab w:val="left" w:pos="851"/>
        </w:tabs>
        <w:spacing w:before="120" w:line="237" w:lineRule="auto"/>
        <w:ind w:left="850"/>
      </w:pPr>
      <w:r>
        <w:rPr>
          <w:spacing w:val="-4"/>
        </w:rPr>
        <w:t>strengthening</w:t>
      </w:r>
      <w:r>
        <w:rPr>
          <w:spacing w:val="53"/>
        </w:rPr>
        <w:t xml:space="preserve"> </w:t>
      </w:r>
      <w:r>
        <w:rPr>
          <w:spacing w:val="-3"/>
        </w:rPr>
        <w:t xml:space="preserve">the </w:t>
      </w:r>
      <w:r>
        <w:rPr>
          <w:spacing w:val="-4"/>
        </w:rPr>
        <w:t xml:space="preserve">election </w:t>
      </w:r>
      <w:r>
        <w:rPr>
          <w:spacing w:val="-3"/>
        </w:rPr>
        <w:t xml:space="preserve">gift and </w:t>
      </w:r>
      <w:r>
        <w:rPr>
          <w:spacing w:val="-4"/>
        </w:rPr>
        <w:t xml:space="preserve">expenditure disclosure requirements </w:t>
      </w:r>
      <w:r>
        <w:rPr>
          <w:spacing w:val="-3"/>
        </w:rPr>
        <w:t xml:space="preserve">for </w:t>
      </w:r>
      <w:r>
        <w:rPr>
          <w:spacing w:val="-5"/>
        </w:rPr>
        <w:t xml:space="preserve">sitting </w:t>
      </w:r>
      <w:r>
        <w:rPr>
          <w:spacing w:val="-4"/>
        </w:rPr>
        <w:t xml:space="preserve">Councillors </w:t>
      </w:r>
      <w:r>
        <w:rPr>
          <w:spacing w:val="-3"/>
        </w:rPr>
        <w:t>and third</w:t>
      </w:r>
      <w:r>
        <w:rPr>
          <w:spacing w:val="-13"/>
        </w:rPr>
        <w:t xml:space="preserve"> </w:t>
      </w:r>
      <w:r>
        <w:rPr>
          <w:spacing w:val="-4"/>
        </w:rPr>
        <w:t>parties;</w:t>
      </w:r>
    </w:p>
    <w:p w14:paraId="08F19421" w14:textId="77777777" w:rsidR="003E582D" w:rsidRDefault="009D0E79" w:rsidP="00DA5B71">
      <w:pPr>
        <w:pStyle w:val="ListParagraph"/>
        <w:numPr>
          <w:ilvl w:val="1"/>
          <w:numId w:val="1"/>
        </w:numPr>
        <w:tabs>
          <w:tab w:val="left" w:pos="851"/>
        </w:tabs>
        <w:spacing w:before="120" w:line="237" w:lineRule="auto"/>
        <w:ind w:left="850" w:hanging="355"/>
      </w:pPr>
      <w:r>
        <w:rPr>
          <w:spacing w:val="-4"/>
        </w:rPr>
        <w:t xml:space="preserve">requiring candidates </w:t>
      </w:r>
      <w:r>
        <w:rPr>
          <w:spacing w:val="-3"/>
        </w:rPr>
        <w:t xml:space="preserve">at Local </w:t>
      </w:r>
      <w:r>
        <w:rPr>
          <w:spacing w:val="-4"/>
        </w:rPr>
        <w:t xml:space="preserve">Government elections </w:t>
      </w:r>
      <w:r>
        <w:t xml:space="preserve">to </w:t>
      </w:r>
      <w:r>
        <w:rPr>
          <w:spacing w:val="-4"/>
        </w:rPr>
        <w:t xml:space="preserve">complete </w:t>
      </w:r>
      <w:r>
        <w:t xml:space="preserve">a </w:t>
      </w:r>
      <w:r>
        <w:rPr>
          <w:spacing w:val="-4"/>
        </w:rPr>
        <w:t xml:space="preserve">mandatory training </w:t>
      </w:r>
      <w:r>
        <w:rPr>
          <w:spacing w:val="-3"/>
        </w:rPr>
        <w:t xml:space="preserve">course as </w:t>
      </w:r>
      <w:r>
        <w:t xml:space="preserve">a </w:t>
      </w:r>
      <w:r>
        <w:rPr>
          <w:spacing w:val="-4"/>
        </w:rPr>
        <w:t xml:space="preserve">condition </w:t>
      </w:r>
      <w:r>
        <w:rPr>
          <w:spacing w:val="-3"/>
        </w:rPr>
        <w:t>of</w:t>
      </w:r>
      <w:r>
        <w:rPr>
          <w:spacing w:val="-21"/>
        </w:rPr>
        <w:t xml:space="preserve"> </w:t>
      </w:r>
      <w:r>
        <w:rPr>
          <w:spacing w:val="-5"/>
        </w:rPr>
        <w:t>nomination;</w:t>
      </w:r>
    </w:p>
    <w:p w14:paraId="08F19422" w14:textId="77777777" w:rsidR="003E582D" w:rsidRDefault="009D0E79" w:rsidP="00DA5B71">
      <w:pPr>
        <w:pStyle w:val="ListParagraph"/>
        <w:numPr>
          <w:ilvl w:val="1"/>
          <w:numId w:val="1"/>
        </w:numPr>
        <w:tabs>
          <w:tab w:val="left" w:pos="850"/>
          <w:tab w:val="left" w:pos="851"/>
        </w:tabs>
        <w:spacing w:before="120"/>
        <w:ind w:left="850" w:hanging="355"/>
        <w:jc w:val="left"/>
      </w:pPr>
      <w:r>
        <w:rPr>
          <w:spacing w:val="-4"/>
        </w:rPr>
        <w:t xml:space="preserve">amending </w:t>
      </w:r>
      <w:r>
        <w:t xml:space="preserve">the </w:t>
      </w:r>
      <w:r>
        <w:rPr>
          <w:spacing w:val="-4"/>
        </w:rPr>
        <w:t xml:space="preserve">powers </w:t>
      </w:r>
      <w:r>
        <w:rPr>
          <w:spacing w:val="-3"/>
        </w:rPr>
        <w:t xml:space="preserve">of </w:t>
      </w:r>
      <w:r>
        <w:rPr>
          <w:spacing w:val="-4"/>
        </w:rPr>
        <w:t xml:space="preserve">Mayors </w:t>
      </w:r>
      <w:r>
        <w:t xml:space="preserve">in </w:t>
      </w:r>
      <w:r>
        <w:rPr>
          <w:spacing w:val="-4"/>
        </w:rPr>
        <w:t xml:space="preserve">relation </w:t>
      </w:r>
      <w:r>
        <w:t xml:space="preserve">to </w:t>
      </w:r>
      <w:r>
        <w:rPr>
          <w:spacing w:val="-4"/>
        </w:rPr>
        <w:t xml:space="preserve">budgets </w:t>
      </w:r>
      <w:r>
        <w:t xml:space="preserve">and </w:t>
      </w:r>
      <w:r>
        <w:rPr>
          <w:spacing w:val="-4"/>
        </w:rPr>
        <w:t>senior executive</w:t>
      </w:r>
      <w:r>
        <w:rPr>
          <w:spacing w:val="-30"/>
        </w:rPr>
        <w:t xml:space="preserve"> </w:t>
      </w:r>
      <w:r>
        <w:rPr>
          <w:spacing w:val="-3"/>
        </w:rPr>
        <w:t>employees.;</w:t>
      </w:r>
    </w:p>
    <w:p w14:paraId="08F19424" w14:textId="33D59603" w:rsidR="003E582D" w:rsidRDefault="009D0E79" w:rsidP="00DA5B71">
      <w:pPr>
        <w:pStyle w:val="ListParagraph"/>
        <w:numPr>
          <w:ilvl w:val="0"/>
          <w:numId w:val="1"/>
        </w:numPr>
        <w:tabs>
          <w:tab w:val="left" w:pos="566"/>
        </w:tabs>
        <w:spacing w:before="240"/>
        <w:ind w:left="565" w:hanging="428"/>
        <w:jc w:val="both"/>
      </w:pPr>
      <w:r>
        <w:t xml:space="preserve">Following introduction of the Belcarra Stage 2 Bill and </w:t>
      </w:r>
      <w:r w:rsidR="003E7CD9">
        <w:t xml:space="preserve">examination </w:t>
      </w:r>
      <w:r w:rsidR="006C2E7B">
        <w:t xml:space="preserve">by </w:t>
      </w:r>
      <w:r>
        <w:t xml:space="preserve">the relevant Parliamentary Committee, amendments </w:t>
      </w:r>
      <w:r w:rsidR="00355179">
        <w:t xml:space="preserve">were </w:t>
      </w:r>
      <w:r>
        <w:t>proposed to the Belcarra Stage 2 Bill, including a proposed departure</w:t>
      </w:r>
      <w:r>
        <w:rPr>
          <w:spacing w:val="-11"/>
        </w:rPr>
        <w:t xml:space="preserve"> </w:t>
      </w:r>
      <w:r>
        <w:t>from</w:t>
      </w:r>
      <w:r>
        <w:rPr>
          <w:spacing w:val="-9"/>
        </w:rPr>
        <w:t xml:space="preserve"> </w:t>
      </w:r>
      <w:r>
        <w:t>the</w:t>
      </w:r>
      <w:r>
        <w:rPr>
          <w:spacing w:val="-10"/>
        </w:rPr>
        <w:t xml:space="preserve"> </w:t>
      </w:r>
      <w:r>
        <w:t>Government’s</w:t>
      </w:r>
      <w:r>
        <w:rPr>
          <w:spacing w:val="-11"/>
        </w:rPr>
        <w:t xml:space="preserve"> </w:t>
      </w:r>
      <w:r>
        <w:t>response</w:t>
      </w:r>
      <w:r>
        <w:rPr>
          <w:spacing w:val="-8"/>
        </w:rPr>
        <w:t xml:space="preserve"> </w:t>
      </w:r>
      <w:r>
        <w:t>to</w:t>
      </w:r>
      <w:r>
        <w:rPr>
          <w:spacing w:val="-10"/>
        </w:rPr>
        <w:t xml:space="preserve"> </w:t>
      </w:r>
      <w:r>
        <w:t>recommendations</w:t>
      </w:r>
      <w:r>
        <w:rPr>
          <w:spacing w:val="-7"/>
        </w:rPr>
        <w:t xml:space="preserve"> </w:t>
      </w:r>
      <w:r>
        <w:t>7</w:t>
      </w:r>
      <w:r>
        <w:rPr>
          <w:spacing w:val="-9"/>
        </w:rPr>
        <w:t xml:space="preserve"> </w:t>
      </w:r>
      <w:r>
        <w:t>and</w:t>
      </w:r>
      <w:r>
        <w:rPr>
          <w:spacing w:val="-8"/>
        </w:rPr>
        <w:t xml:space="preserve"> </w:t>
      </w:r>
      <w:r>
        <w:t>21</w:t>
      </w:r>
      <w:r>
        <w:rPr>
          <w:spacing w:val="-8"/>
        </w:rPr>
        <w:t xml:space="preserve"> </w:t>
      </w:r>
      <w:r>
        <w:t>of</w:t>
      </w:r>
      <w:r>
        <w:rPr>
          <w:spacing w:val="-7"/>
        </w:rPr>
        <w:t xml:space="preserve"> </w:t>
      </w:r>
      <w:r>
        <w:t>the</w:t>
      </w:r>
      <w:r>
        <w:rPr>
          <w:spacing w:val="-8"/>
        </w:rPr>
        <w:t xml:space="preserve"> </w:t>
      </w:r>
      <w:r>
        <w:t>Crime</w:t>
      </w:r>
      <w:r>
        <w:rPr>
          <w:spacing w:val="-8"/>
        </w:rPr>
        <w:t xml:space="preserve"> </w:t>
      </w:r>
      <w:r>
        <w:t xml:space="preserve">and Corruption Commission (CCC) report </w:t>
      </w:r>
      <w:r>
        <w:rPr>
          <w:i/>
        </w:rPr>
        <w:t>Operation Belcarra: A blueprint for integrity and addressing corruption risk in Local Government (</w:t>
      </w:r>
      <w:r>
        <w:t>Belcarra Report) to mean that Councillors will not be presumed to know, unless the contrary is proven, that the gift or loan was given to the Councillor and the source of the relevant gift or</w:t>
      </w:r>
      <w:r>
        <w:rPr>
          <w:spacing w:val="-9"/>
        </w:rPr>
        <w:t xml:space="preserve"> </w:t>
      </w:r>
      <w:r>
        <w:t>loan.</w:t>
      </w:r>
    </w:p>
    <w:p w14:paraId="08F19426" w14:textId="778D62F5" w:rsidR="003E582D" w:rsidRDefault="009D0E79" w:rsidP="00DA5B71">
      <w:pPr>
        <w:pStyle w:val="ListParagraph"/>
        <w:numPr>
          <w:ilvl w:val="0"/>
          <w:numId w:val="1"/>
        </w:numPr>
        <w:tabs>
          <w:tab w:val="left" w:pos="566"/>
        </w:tabs>
        <w:spacing w:before="240"/>
        <w:ind w:left="565" w:hanging="428"/>
        <w:jc w:val="both"/>
      </w:pPr>
      <w:r>
        <w:t>The Committee’s report noted that stakeholders, including the L</w:t>
      </w:r>
      <w:r w:rsidR="00534F0E">
        <w:t xml:space="preserve">ocal </w:t>
      </w:r>
      <w:r>
        <w:t>G</w:t>
      </w:r>
      <w:r w:rsidR="00534F0E">
        <w:t xml:space="preserve">overnment </w:t>
      </w:r>
      <w:r>
        <w:t>A</w:t>
      </w:r>
      <w:r w:rsidR="00910871">
        <w:t xml:space="preserve">ssociation </w:t>
      </w:r>
      <w:r w:rsidR="00B72AAC">
        <w:t xml:space="preserve">of </w:t>
      </w:r>
      <w:r>
        <w:t>Q</w:t>
      </w:r>
      <w:r w:rsidR="00910871">
        <w:t>ueensland</w:t>
      </w:r>
      <w:r>
        <w:t xml:space="preserve"> and the Q</w:t>
      </w:r>
      <w:r w:rsidR="00910871">
        <w:t xml:space="preserve">ueensland </w:t>
      </w:r>
      <w:r>
        <w:t>L</w:t>
      </w:r>
      <w:r w:rsidR="00910871">
        <w:t xml:space="preserve">aw </w:t>
      </w:r>
      <w:r>
        <w:t>S</w:t>
      </w:r>
      <w:r w:rsidR="00910871">
        <w:t>ociety</w:t>
      </w:r>
      <w:r>
        <w:t>, identified significant concerns about the reversal of the onus of proof that the amendments would</w:t>
      </w:r>
      <w:r>
        <w:rPr>
          <w:spacing w:val="-5"/>
        </w:rPr>
        <w:t xml:space="preserve"> </w:t>
      </w:r>
      <w:r>
        <w:t>effect,</w:t>
      </w:r>
      <w:r>
        <w:rPr>
          <w:spacing w:val="-6"/>
        </w:rPr>
        <w:t xml:space="preserve"> </w:t>
      </w:r>
      <w:r>
        <w:t>noting</w:t>
      </w:r>
      <w:r>
        <w:rPr>
          <w:spacing w:val="-4"/>
        </w:rPr>
        <w:t xml:space="preserve"> </w:t>
      </w:r>
      <w:r>
        <w:t>a</w:t>
      </w:r>
      <w:r>
        <w:rPr>
          <w:spacing w:val="-7"/>
        </w:rPr>
        <w:t xml:space="preserve"> </w:t>
      </w:r>
      <w:r>
        <w:t>Councillor</w:t>
      </w:r>
      <w:r>
        <w:rPr>
          <w:spacing w:val="-3"/>
        </w:rPr>
        <w:t xml:space="preserve"> </w:t>
      </w:r>
      <w:r>
        <w:t>would</w:t>
      </w:r>
      <w:r>
        <w:rPr>
          <w:spacing w:val="-5"/>
        </w:rPr>
        <w:t xml:space="preserve"> </w:t>
      </w:r>
      <w:r>
        <w:t>be</w:t>
      </w:r>
      <w:r>
        <w:rPr>
          <w:spacing w:val="-4"/>
        </w:rPr>
        <w:t xml:space="preserve"> </w:t>
      </w:r>
      <w:r>
        <w:t>required</w:t>
      </w:r>
      <w:r>
        <w:rPr>
          <w:spacing w:val="-5"/>
        </w:rPr>
        <w:t xml:space="preserve"> </w:t>
      </w:r>
      <w:r>
        <w:t>to</w:t>
      </w:r>
      <w:r>
        <w:rPr>
          <w:spacing w:val="-4"/>
        </w:rPr>
        <w:t xml:space="preserve"> </w:t>
      </w:r>
      <w:r>
        <w:t>prove</w:t>
      </w:r>
      <w:r>
        <w:rPr>
          <w:spacing w:val="-5"/>
        </w:rPr>
        <w:t xml:space="preserve"> </w:t>
      </w:r>
      <w:r>
        <w:t>both</w:t>
      </w:r>
      <w:r>
        <w:rPr>
          <w:spacing w:val="-6"/>
        </w:rPr>
        <w:t xml:space="preserve"> </w:t>
      </w:r>
      <w:r>
        <w:t>that</w:t>
      </w:r>
      <w:r>
        <w:rPr>
          <w:spacing w:val="-6"/>
        </w:rPr>
        <w:t xml:space="preserve"> </w:t>
      </w:r>
      <w:r>
        <w:t>they</w:t>
      </w:r>
      <w:r>
        <w:rPr>
          <w:spacing w:val="-8"/>
        </w:rPr>
        <w:t xml:space="preserve"> </w:t>
      </w:r>
      <w:r>
        <w:t>did</w:t>
      </w:r>
      <w:r>
        <w:rPr>
          <w:spacing w:val="-5"/>
        </w:rPr>
        <w:t xml:space="preserve"> </w:t>
      </w:r>
      <w:r>
        <w:t>not</w:t>
      </w:r>
      <w:r>
        <w:rPr>
          <w:spacing w:val="-7"/>
        </w:rPr>
        <w:t xml:space="preserve"> </w:t>
      </w:r>
      <w:r>
        <w:t>know</w:t>
      </w:r>
      <w:r>
        <w:rPr>
          <w:spacing w:val="-9"/>
        </w:rPr>
        <w:t xml:space="preserve"> </w:t>
      </w:r>
      <w:r>
        <w:t>the gift or loan was given to them, and also the source of the gift or</w:t>
      </w:r>
      <w:r>
        <w:rPr>
          <w:spacing w:val="-15"/>
        </w:rPr>
        <w:t xml:space="preserve"> </w:t>
      </w:r>
      <w:r>
        <w:t>loan.</w:t>
      </w:r>
    </w:p>
    <w:p w14:paraId="08F1942D" w14:textId="3A0714CB" w:rsidR="003E582D" w:rsidRDefault="009D0E79" w:rsidP="00DA5B71">
      <w:pPr>
        <w:pStyle w:val="ListParagraph"/>
        <w:numPr>
          <w:ilvl w:val="0"/>
          <w:numId w:val="1"/>
        </w:numPr>
        <w:tabs>
          <w:tab w:val="left" w:pos="497"/>
        </w:tabs>
        <w:spacing w:before="240"/>
        <w:jc w:val="both"/>
      </w:pPr>
      <w:r>
        <w:rPr>
          <w:u w:val="single"/>
        </w:rPr>
        <w:t xml:space="preserve">Cabinet </w:t>
      </w:r>
      <w:r w:rsidR="00661C37">
        <w:rPr>
          <w:u w:val="single"/>
        </w:rPr>
        <w:t>noted</w:t>
      </w:r>
      <w:r w:rsidR="00661C37">
        <w:t xml:space="preserve"> </w:t>
      </w:r>
      <w:r>
        <w:t xml:space="preserve">amendments </w:t>
      </w:r>
      <w:r w:rsidR="00DA5B71">
        <w:t xml:space="preserve">to </w:t>
      </w:r>
      <w:r w:rsidR="006D2165">
        <w:t xml:space="preserve">be moved during </w:t>
      </w:r>
      <w:r>
        <w:t>consideration in detail to the Local Government</w:t>
      </w:r>
      <w:r>
        <w:rPr>
          <w:spacing w:val="-16"/>
        </w:rPr>
        <w:t xml:space="preserve"> </w:t>
      </w:r>
      <w:r>
        <w:t>Electoral</w:t>
      </w:r>
      <w:r>
        <w:rPr>
          <w:spacing w:val="-19"/>
        </w:rPr>
        <w:t xml:space="preserve"> </w:t>
      </w:r>
      <w:r>
        <w:t>(Implementing</w:t>
      </w:r>
      <w:r>
        <w:rPr>
          <w:spacing w:val="-17"/>
        </w:rPr>
        <w:t xml:space="preserve"> </w:t>
      </w:r>
      <w:r>
        <w:t>Stage</w:t>
      </w:r>
      <w:r>
        <w:rPr>
          <w:spacing w:val="-19"/>
        </w:rPr>
        <w:t xml:space="preserve"> </w:t>
      </w:r>
      <w:r>
        <w:t>2</w:t>
      </w:r>
      <w:r>
        <w:rPr>
          <w:spacing w:val="-17"/>
        </w:rPr>
        <w:t xml:space="preserve"> </w:t>
      </w:r>
      <w:r>
        <w:t>of</w:t>
      </w:r>
      <w:r>
        <w:rPr>
          <w:spacing w:val="-20"/>
        </w:rPr>
        <w:t xml:space="preserve"> </w:t>
      </w:r>
      <w:r>
        <w:t>Belcarra)</w:t>
      </w:r>
      <w:r>
        <w:rPr>
          <w:spacing w:val="-18"/>
        </w:rPr>
        <w:t xml:space="preserve"> </w:t>
      </w:r>
      <w:r>
        <w:t>and</w:t>
      </w:r>
      <w:r>
        <w:rPr>
          <w:spacing w:val="-19"/>
        </w:rPr>
        <w:t xml:space="preserve"> </w:t>
      </w:r>
      <w:r>
        <w:t>Other</w:t>
      </w:r>
      <w:r>
        <w:rPr>
          <w:spacing w:val="-17"/>
        </w:rPr>
        <w:t xml:space="preserve"> </w:t>
      </w:r>
      <w:r>
        <w:t>Legislation</w:t>
      </w:r>
      <w:r>
        <w:rPr>
          <w:spacing w:val="-17"/>
        </w:rPr>
        <w:t xml:space="preserve"> </w:t>
      </w:r>
      <w:r>
        <w:t>Amendment Bill 201</w:t>
      </w:r>
      <w:r w:rsidR="002B2BC4">
        <w:t>9</w:t>
      </w:r>
      <w:r>
        <w:t>.</w:t>
      </w:r>
    </w:p>
    <w:p w14:paraId="5AF3F860" w14:textId="3820D09C" w:rsidR="00EF0E1C" w:rsidRDefault="00EF0E1C" w:rsidP="00DA5B71">
      <w:pPr>
        <w:pStyle w:val="ListParagraph"/>
        <w:numPr>
          <w:ilvl w:val="0"/>
          <w:numId w:val="1"/>
        </w:numPr>
        <w:tabs>
          <w:tab w:val="left" w:pos="497"/>
        </w:tabs>
        <w:spacing w:before="240"/>
        <w:jc w:val="both"/>
      </w:pPr>
      <w:r w:rsidRPr="00075904">
        <w:rPr>
          <w:u w:val="single"/>
        </w:rPr>
        <w:t>Cabinet approved</w:t>
      </w:r>
      <w:r>
        <w:t xml:space="preserve"> the Government response</w:t>
      </w:r>
      <w:r w:rsidR="00D04606">
        <w:t xml:space="preserve"> to the Economics and Governance </w:t>
      </w:r>
      <w:r w:rsidR="00F71B25">
        <w:t xml:space="preserve">Committee </w:t>
      </w:r>
      <w:r w:rsidR="00D04606">
        <w:t>Report No. 26, 56</w:t>
      </w:r>
      <w:r w:rsidR="00D04606" w:rsidRPr="00B04C7E">
        <w:rPr>
          <w:vertAlign w:val="superscript"/>
        </w:rPr>
        <w:t>th</w:t>
      </w:r>
      <w:r w:rsidR="00D04606">
        <w:t xml:space="preserve"> Parliament on the </w:t>
      </w:r>
      <w:r w:rsidR="00E00425">
        <w:t xml:space="preserve">Local Government Electoral (Implementing </w:t>
      </w:r>
      <w:r w:rsidR="00D04606">
        <w:t xml:space="preserve">Stage 2 </w:t>
      </w:r>
      <w:r w:rsidR="00E00425">
        <w:t xml:space="preserve">of Belcarra) </w:t>
      </w:r>
      <w:r w:rsidR="00CD626F">
        <w:t xml:space="preserve">and Other Legislation Amendment </w:t>
      </w:r>
      <w:r w:rsidR="00D04606">
        <w:t>Bill</w:t>
      </w:r>
      <w:r w:rsidR="00CD626F">
        <w:t xml:space="preserve"> 2019</w:t>
      </w:r>
      <w:r w:rsidR="00B04C7E">
        <w:t>.</w:t>
      </w:r>
    </w:p>
    <w:p w14:paraId="5850DA55" w14:textId="211308BB" w:rsidR="007235A5" w:rsidRDefault="007235A5" w:rsidP="00DA5B71">
      <w:pPr>
        <w:pStyle w:val="ListParagraph"/>
        <w:numPr>
          <w:ilvl w:val="0"/>
          <w:numId w:val="1"/>
        </w:numPr>
        <w:tabs>
          <w:tab w:val="left" w:pos="497"/>
        </w:tabs>
        <w:spacing w:before="360"/>
        <w:jc w:val="both"/>
      </w:pPr>
      <w:r w:rsidRPr="000058E4">
        <w:rPr>
          <w:i/>
          <w:u w:val="single"/>
        </w:rPr>
        <w:t>Attachments</w:t>
      </w:r>
    </w:p>
    <w:p w14:paraId="5EE6633B" w14:textId="1291AC5D" w:rsidR="009E10FA" w:rsidRDefault="00524E59" w:rsidP="00DA5B71">
      <w:pPr>
        <w:pStyle w:val="ListParagraph"/>
        <w:numPr>
          <w:ilvl w:val="0"/>
          <w:numId w:val="2"/>
        </w:numPr>
        <w:tabs>
          <w:tab w:val="left" w:pos="497"/>
        </w:tabs>
        <w:spacing w:before="120"/>
      </w:pPr>
      <w:hyperlink r:id="rId10" w:history="1">
        <w:r w:rsidR="009E10FA" w:rsidRPr="009E04AE">
          <w:rPr>
            <w:rStyle w:val="Hyperlink"/>
          </w:rPr>
          <w:t>Economics and Governance Committee Report No. 26 - Local Government Electoral (Implementing Stage 2 of Belcarra) and Other Legislation Amendment Bill 2019</w:t>
        </w:r>
      </w:hyperlink>
    </w:p>
    <w:p w14:paraId="4BBB9728" w14:textId="22DBE35B" w:rsidR="004D04FD" w:rsidRDefault="00524E59" w:rsidP="00DA5B71">
      <w:pPr>
        <w:pStyle w:val="ListParagraph"/>
        <w:numPr>
          <w:ilvl w:val="0"/>
          <w:numId w:val="2"/>
        </w:numPr>
        <w:tabs>
          <w:tab w:val="left" w:pos="497"/>
        </w:tabs>
        <w:spacing w:before="120"/>
      </w:pPr>
      <w:hyperlink r:id="rId11" w:history="1">
        <w:r w:rsidR="00F1688C" w:rsidRPr="009E04AE">
          <w:rPr>
            <w:rStyle w:val="Hyperlink"/>
          </w:rPr>
          <w:t>Government response to the Report of the Economics and Govern</w:t>
        </w:r>
        <w:r w:rsidR="00720DA8" w:rsidRPr="009E04AE">
          <w:rPr>
            <w:rStyle w:val="Hyperlink"/>
          </w:rPr>
          <w:t>ance</w:t>
        </w:r>
        <w:r w:rsidR="00F1688C" w:rsidRPr="009E04AE">
          <w:rPr>
            <w:rStyle w:val="Hyperlink"/>
          </w:rPr>
          <w:t xml:space="preserve"> Committee</w:t>
        </w:r>
      </w:hyperlink>
    </w:p>
    <w:sectPr w:rsidR="004D04FD" w:rsidSect="00C734DF">
      <w:headerReference w:type="default" r:id="rId12"/>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02653" w14:textId="77777777" w:rsidR="00ED3775" w:rsidRDefault="00ED3775">
      <w:r>
        <w:separator/>
      </w:r>
    </w:p>
  </w:endnote>
  <w:endnote w:type="continuationSeparator" w:id="0">
    <w:p w14:paraId="7459B011" w14:textId="77777777" w:rsidR="00ED3775" w:rsidRDefault="00ED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57FD" w14:textId="77777777" w:rsidR="00ED3775" w:rsidRDefault="00ED3775">
      <w:r>
        <w:separator/>
      </w:r>
    </w:p>
  </w:footnote>
  <w:footnote w:type="continuationSeparator" w:id="0">
    <w:p w14:paraId="6706F135" w14:textId="77777777" w:rsidR="00ED3775" w:rsidRDefault="00ED3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0605C" w14:textId="77777777" w:rsidR="00354538" w:rsidRPr="00937A4A" w:rsidRDefault="00354538" w:rsidP="00354538">
    <w:pPr>
      <w:pBdr>
        <w:top w:val="thinThickLargeGap" w:sz="24" w:space="4" w:color="auto"/>
        <w:left w:val="thinThickLargeGap" w:sz="24" w:space="4" w:color="auto"/>
        <w:bottom w:val="thickThinLargeGap" w:sz="24" w:space="4" w:color="auto"/>
        <w:right w:val="thickThinLargeGap" w:sz="24" w:space="4" w:color="auto"/>
      </w:pBdr>
      <w:jc w:val="center"/>
      <w:rPr>
        <w:b/>
        <w:sz w:val="28"/>
        <w:lang w:eastAsia="en-US"/>
      </w:rPr>
    </w:pPr>
    <w:r w:rsidRPr="00937A4A">
      <w:rPr>
        <w:b/>
        <w:sz w:val="28"/>
        <w:lang w:eastAsia="en-US"/>
      </w:rPr>
      <w:t>Queensland Government</w:t>
    </w:r>
  </w:p>
  <w:p w14:paraId="098D8D4E" w14:textId="77777777" w:rsidR="00354538" w:rsidRPr="00937A4A" w:rsidRDefault="00354538" w:rsidP="00354538">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lang w:eastAsia="en-US"/>
      </w:rPr>
    </w:pPr>
  </w:p>
  <w:p w14:paraId="1672A1AF" w14:textId="4FE1C915" w:rsidR="00354538" w:rsidRPr="00937A4A" w:rsidRDefault="00354538" w:rsidP="00354538">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lang w:eastAsia="en-US"/>
      </w:rPr>
    </w:pPr>
    <w:r w:rsidRPr="00937A4A">
      <w:rPr>
        <w:b/>
        <w:lang w:eastAsia="en-US"/>
      </w:rPr>
      <w:t xml:space="preserve">Cabinet – </w:t>
    </w:r>
    <w:r w:rsidR="000D6B4C">
      <w:rPr>
        <w:b/>
        <w:lang w:eastAsia="en-US"/>
      </w:rPr>
      <w:t>August 2019</w:t>
    </w:r>
  </w:p>
  <w:p w14:paraId="46B180D4" w14:textId="23EC1328" w:rsidR="00354538" w:rsidRDefault="00936E60" w:rsidP="00354538">
    <w:pPr>
      <w:pStyle w:val="Header"/>
      <w:spacing w:before="120"/>
      <w:rPr>
        <w:b/>
        <w:u w:val="single"/>
      </w:rPr>
    </w:pPr>
    <w:r>
      <w:rPr>
        <w:b/>
        <w:u w:val="single"/>
      </w:rPr>
      <w:t>Local Government Electoral (Implementing Stage 2 of Belcarra) and Other Legislation Amendment Bill 201</w:t>
    </w:r>
    <w:r w:rsidR="000D6B4C">
      <w:rPr>
        <w:b/>
        <w:u w:val="single"/>
      </w:rPr>
      <w:t>9</w:t>
    </w:r>
    <w:r>
      <w:rPr>
        <w:b/>
        <w:u w:val="single"/>
      </w:rPr>
      <w:t xml:space="preserve"> – Amendments during consideration in detail</w:t>
    </w:r>
  </w:p>
  <w:p w14:paraId="22A81F15" w14:textId="44197B71" w:rsidR="00354538" w:rsidRDefault="00354538" w:rsidP="00354538">
    <w:pPr>
      <w:pStyle w:val="Header"/>
      <w:spacing w:before="120"/>
      <w:rPr>
        <w:b/>
        <w:u w:val="single"/>
      </w:rPr>
    </w:pPr>
    <w:r>
      <w:rPr>
        <w:b/>
        <w:u w:val="single"/>
      </w:rPr>
      <w:t>Minister</w:t>
    </w:r>
    <w:r w:rsidR="00936E60">
      <w:rPr>
        <w:b/>
        <w:u w:val="single"/>
      </w:rPr>
      <w:t xml:space="preserve"> for Local Government, Minister for Racing and Minister for Multicultural Affairs</w:t>
    </w:r>
  </w:p>
  <w:p w14:paraId="26BD28D8" w14:textId="77777777" w:rsidR="00354538" w:rsidRDefault="00354538" w:rsidP="00354538">
    <w:pPr>
      <w:pStyle w:val="Header"/>
      <w:pBdr>
        <w:bottom w:val="single" w:sz="4" w:space="1" w:color="auto"/>
      </w:pBdr>
    </w:pPr>
  </w:p>
  <w:p w14:paraId="08F19434" w14:textId="3671AC79" w:rsidR="003E582D" w:rsidRDefault="003E582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31530"/>
    <w:multiLevelType w:val="hybridMultilevel"/>
    <w:tmpl w:val="2DB4A7CE"/>
    <w:lvl w:ilvl="0" w:tplc="F718DCE2">
      <w:start w:val="1"/>
      <w:numFmt w:val="decimal"/>
      <w:lvlText w:val="%1."/>
      <w:lvlJc w:val="left"/>
      <w:pPr>
        <w:ind w:left="496" w:hanging="360"/>
        <w:jc w:val="left"/>
      </w:pPr>
      <w:rPr>
        <w:rFonts w:ascii="Arial" w:eastAsia="Arial" w:hAnsi="Arial" w:cs="Arial" w:hint="default"/>
        <w:spacing w:val="-3"/>
        <w:w w:val="100"/>
        <w:sz w:val="22"/>
        <w:szCs w:val="22"/>
        <w:lang w:val="en-AU" w:eastAsia="en-AU" w:bidi="en-AU"/>
      </w:rPr>
    </w:lvl>
    <w:lvl w:ilvl="1" w:tplc="672EC072">
      <w:numFmt w:val="bullet"/>
      <w:lvlText w:val=""/>
      <w:lvlJc w:val="left"/>
      <w:pPr>
        <w:ind w:left="849" w:hanging="356"/>
      </w:pPr>
      <w:rPr>
        <w:rFonts w:ascii="Symbol" w:eastAsia="Symbol" w:hAnsi="Symbol" w:cs="Symbol" w:hint="default"/>
        <w:w w:val="100"/>
        <w:sz w:val="22"/>
        <w:szCs w:val="22"/>
        <w:lang w:val="en-AU" w:eastAsia="en-AU" w:bidi="en-AU"/>
      </w:rPr>
    </w:lvl>
    <w:lvl w:ilvl="2" w:tplc="8DEAE67C">
      <w:numFmt w:val="bullet"/>
      <w:lvlText w:val="•"/>
      <w:lvlJc w:val="left"/>
      <w:pPr>
        <w:ind w:left="1800" w:hanging="356"/>
      </w:pPr>
      <w:rPr>
        <w:rFonts w:hint="default"/>
        <w:lang w:val="en-AU" w:eastAsia="en-AU" w:bidi="en-AU"/>
      </w:rPr>
    </w:lvl>
    <w:lvl w:ilvl="3" w:tplc="D3A876A2">
      <w:numFmt w:val="bullet"/>
      <w:lvlText w:val="•"/>
      <w:lvlJc w:val="left"/>
      <w:pPr>
        <w:ind w:left="2761" w:hanging="356"/>
      </w:pPr>
      <w:rPr>
        <w:rFonts w:hint="default"/>
        <w:lang w:val="en-AU" w:eastAsia="en-AU" w:bidi="en-AU"/>
      </w:rPr>
    </w:lvl>
    <w:lvl w:ilvl="4" w:tplc="7EA277AC">
      <w:numFmt w:val="bullet"/>
      <w:lvlText w:val="•"/>
      <w:lvlJc w:val="left"/>
      <w:pPr>
        <w:ind w:left="3722" w:hanging="356"/>
      </w:pPr>
      <w:rPr>
        <w:rFonts w:hint="default"/>
        <w:lang w:val="en-AU" w:eastAsia="en-AU" w:bidi="en-AU"/>
      </w:rPr>
    </w:lvl>
    <w:lvl w:ilvl="5" w:tplc="7F069E5C">
      <w:numFmt w:val="bullet"/>
      <w:lvlText w:val="•"/>
      <w:lvlJc w:val="left"/>
      <w:pPr>
        <w:ind w:left="4682" w:hanging="356"/>
      </w:pPr>
      <w:rPr>
        <w:rFonts w:hint="default"/>
        <w:lang w:val="en-AU" w:eastAsia="en-AU" w:bidi="en-AU"/>
      </w:rPr>
    </w:lvl>
    <w:lvl w:ilvl="6" w:tplc="A69054C4">
      <w:numFmt w:val="bullet"/>
      <w:lvlText w:val="•"/>
      <w:lvlJc w:val="left"/>
      <w:pPr>
        <w:ind w:left="5643" w:hanging="356"/>
      </w:pPr>
      <w:rPr>
        <w:rFonts w:hint="default"/>
        <w:lang w:val="en-AU" w:eastAsia="en-AU" w:bidi="en-AU"/>
      </w:rPr>
    </w:lvl>
    <w:lvl w:ilvl="7" w:tplc="63A67702">
      <w:numFmt w:val="bullet"/>
      <w:lvlText w:val="•"/>
      <w:lvlJc w:val="left"/>
      <w:pPr>
        <w:ind w:left="6604" w:hanging="356"/>
      </w:pPr>
      <w:rPr>
        <w:rFonts w:hint="default"/>
        <w:lang w:val="en-AU" w:eastAsia="en-AU" w:bidi="en-AU"/>
      </w:rPr>
    </w:lvl>
    <w:lvl w:ilvl="8" w:tplc="0DAC0538">
      <w:numFmt w:val="bullet"/>
      <w:lvlText w:val="•"/>
      <w:lvlJc w:val="left"/>
      <w:pPr>
        <w:ind w:left="7564" w:hanging="356"/>
      </w:pPr>
      <w:rPr>
        <w:rFonts w:hint="default"/>
        <w:lang w:val="en-AU" w:eastAsia="en-AU" w:bidi="en-AU"/>
      </w:rPr>
    </w:lvl>
  </w:abstractNum>
  <w:abstractNum w:abstractNumId="1" w15:restartNumberingAfterBreak="0">
    <w:nsid w:val="40554FA2"/>
    <w:multiLevelType w:val="hybridMultilevel"/>
    <w:tmpl w:val="943C59BE"/>
    <w:lvl w:ilvl="0" w:tplc="0C090001">
      <w:start w:val="1"/>
      <w:numFmt w:val="bullet"/>
      <w:lvlText w:val=""/>
      <w:lvlJc w:val="left"/>
      <w:pPr>
        <w:ind w:left="856" w:hanging="360"/>
      </w:pPr>
      <w:rPr>
        <w:rFonts w:ascii="Symbol" w:hAnsi="Symbol" w:hint="default"/>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2D"/>
    <w:rsid w:val="000058E4"/>
    <w:rsid w:val="00075904"/>
    <w:rsid w:val="000D6B4C"/>
    <w:rsid w:val="002B2BC4"/>
    <w:rsid w:val="002D3F95"/>
    <w:rsid w:val="00303C99"/>
    <w:rsid w:val="003239FD"/>
    <w:rsid w:val="00333D3B"/>
    <w:rsid w:val="00354538"/>
    <w:rsid w:val="00355179"/>
    <w:rsid w:val="003E582D"/>
    <w:rsid w:val="003E7CD9"/>
    <w:rsid w:val="00412C01"/>
    <w:rsid w:val="004319FF"/>
    <w:rsid w:val="00446112"/>
    <w:rsid w:val="004D04FD"/>
    <w:rsid w:val="00524E59"/>
    <w:rsid w:val="00534F0E"/>
    <w:rsid w:val="005720F8"/>
    <w:rsid w:val="005A744D"/>
    <w:rsid w:val="005B7561"/>
    <w:rsid w:val="00661C37"/>
    <w:rsid w:val="006A2E5A"/>
    <w:rsid w:val="006C2E7B"/>
    <w:rsid w:val="006D2165"/>
    <w:rsid w:val="006E5B63"/>
    <w:rsid w:val="00720DA8"/>
    <w:rsid w:val="007235A5"/>
    <w:rsid w:val="007C6B63"/>
    <w:rsid w:val="00831B79"/>
    <w:rsid w:val="008B43F8"/>
    <w:rsid w:val="00910871"/>
    <w:rsid w:val="00936E60"/>
    <w:rsid w:val="009D0E79"/>
    <w:rsid w:val="009E04AE"/>
    <w:rsid w:val="009E10FA"/>
    <w:rsid w:val="00AD68A0"/>
    <w:rsid w:val="00B04C7E"/>
    <w:rsid w:val="00B72AAC"/>
    <w:rsid w:val="00BC6B7E"/>
    <w:rsid w:val="00BD621E"/>
    <w:rsid w:val="00C734DF"/>
    <w:rsid w:val="00C77AF3"/>
    <w:rsid w:val="00CD626F"/>
    <w:rsid w:val="00D04606"/>
    <w:rsid w:val="00DA5B71"/>
    <w:rsid w:val="00DD585C"/>
    <w:rsid w:val="00E00425"/>
    <w:rsid w:val="00E9725C"/>
    <w:rsid w:val="00ED3775"/>
    <w:rsid w:val="00EF0E1C"/>
    <w:rsid w:val="00F1688C"/>
    <w:rsid w:val="00F71B25"/>
    <w:rsid w:val="00FA2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F1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jc w:val="center"/>
      <w:outlineLvl w:val="0"/>
    </w:pPr>
    <w:rPr>
      <w:b/>
      <w:bCs/>
      <w:sz w:val="28"/>
      <w:szCs w:val="28"/>
    </w:rPr>
  </w:style>
  <w:style w:type="paragraph" w:styleId="Heading2">
    <w:name w:val="heading 2"/>
    <w:basedOn w:val="Normal"/>
    <w:uiPriority w:val="9"/>
    <w:unhideWhenUsed/>
    <w:qFormat/>
    <w:pPr>
      <w:spacing w:before="121"/>
      <w:ind w:left="136"/>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9" w:hanging="35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2E5A"/>
    <w:pPr>
      <w:tabs>
        <w:tab w:val="center" w:pos="4513"/>
        <w:tab w:val="right" w:pos="9026"/>
      </w:tabs>
    </w:pPr>
  </w:style>
  <w:style w:type="character" w:customStyle="1" w:styleId="HeaderChar">
    <w:name w:val="Header Char"/>
    <w:basedOn w:val="DefaultParagraphFont"/>
    <w:link w:val="Header"/>
    <w:uiPriority w:val="99"/>
    <w:rsid w:val="006A2E5A"/>
    <w:rPr>
      <w:rFonts w:ascii="Arial" w:eastAsia="Arial" w:hAnsi="Arial" w:cs="Arial"/>
      <w:lang w:val="en-AU" w:eastAsia="en-AU" w:bidi="en-AU"/>
    </w:rPr>
  </w:style>
  <w:style w:type="paragraph" w:styleId="Footer">
    <w:name w:val="footer"/>
    <w:basedOn w:val="Normal"/>
    <w:link w:val="FooterChar"/>
    <w:uiPriority w:val="99"/>
    <w:unhideWhenUsed/>
    <w:rsid w:val="006A2E5A"/>
    <w:pPr>
      <w:tabs>
        <w:tab w:val="center" w:pos="4513"/>
        <w:tab w:val="right" w:pos="9026"/>
      </w:tabs>
    </w:pPr>
  </w:style>
  <w:style w:type="character" w:customStyle="1" w:styleId="FooterChar">
    <w:name w:val="Footer Char"/>
    <w:basedOn w:val="DefaultParagraphFont"/>
    <w:link w:val="Footer"/>
    <w:uiPriority w:val="99"/>
    <w:rsid w:val="006A2E5A"/>
    <w:rPr>
      <w:rFonts w:ascii="Arial" w:eastAsia="Arial" w:hAnsi="Arial" w:cs="Arial"/>
      <w:lang w:val="en-AU" w:eastAsia="en-AU" w:bidi="en-AU"/>
    </w:rPr>
  </w:style>
  <w:style w:type="paragraph" w:styleId="BalloonText">
    <w:name w:val="Balloon Text"/>
    <w:basedOn w:val="Normal"/>
    <w:link w:val="BalloonTextChar"/>
    <w:uiPriority w:val="99"/>
    <w:semiHidden/>
    <w:unhideWhenUsed/>
    <w:rsid w:val="007235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5A5"/>
    <w:rPr>
      <w:rFonts w:ascii="Segoe UI" w:eastAsia="Arial" w:hAnsi="Segoe UI" w:cs="Segoe UI"/>
      <w:sz w:val="18"/>
      <w:szCs w:val="18"/>
      <w:lang w:val="en-AU" w:eastAsia="en-AU" w:bidi="en-AU"/>
    </w:rPr>
  </w:style>
  <w:style w:type="character" w:styleId="Hyperlink">
    <w:name w:val="Hyperlink"/>
    <w:basedOn w:val="DefaultParagraphFont"/>
    <w:uiPriority w:val="99"/>
    <w:unhideWhenUsed/>
    <w:rsid w:val="009E04AE"/>
    <w:rPr>
      <w:color w:val="0000FF" w:themeColor="hyperlink"/>
      <w:u w:val="single"/>
    </w:rPr>
  </w:style>
  <w:style w:type="character" w:styleId="UnresolvedMention">
    <w:name w:val="Unresolved Mention"/>
    <w:basedOn w:val="DefaultParagraphFont"/>
    <w:uiPriority w:val="99"/>
    <w:semiHidden/>
    <w:unhideWhenUsed/>
    <w:rsid w:val="009E0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Response.PDF" TargetMode="External"/><Relationship Id="rId5" Type="http://schemas.openxmlformats.org/officeDocument/2006/relationships/styles" Target="styles.xml"/><Relationship Id="rId10" Type="http://schemas.openxmlformats.org/officeDocument/2006/relationships/hyperlink" Target="Attachments/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9" ma:contentTypeDescription="Create a new document." ma:contentTypeScope="" ma:versionID="d6b3e961082200c5a700998994f781a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cc3b65ad2610a8494efec25e4d5ad3b0"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129BF5-D278-429F-96BE-8F22D9942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10B41-7EDC-4B6A-A3AD-FA9B808D2389}">
  <ds:schemaRefs>
    <ds:schemaRef ds:uri="http://schemas.microsoft.com/sharepoint/v3/contenttype/forms"/>
  </ds:schemaRefs>
</ds:datastoreItem>
</file>

<file path=customXml/itemProps3.xml><?xml version="1.0" encoding="utf-8"?>
<ds:datastoreItem xmlns:ds="http://schemas.openxmlformats.org/officeDocument/2006/customXml" ds:itemID="{146F3D01-4BFF-4B9D-BC74-40209A0C90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447</Words>
  <Characters>2494</Characters>
  <Application>Microsoft Office Word</Application>
  <DocSecurity>0</DocSecurity>
  <Lines>37</Lines>
  <Paragraphs>14</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2934</CharactersWithSpaces>
  <SharedDoc>false</SharedDoc>
  <HyperlinkBase>https://www.cabinet.qld.gov.au/documents/2019/Aug/LGECtteResp/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creator/>
  <cp:lastModifiedBy/>
  <cp:revision>10</cp:revision>
  <cp:lastPrinted>2019-10-22T05:30:00Z</cp:lastPrinted>
  <dcterms:created xsi:type="dcterms:W3CDTF">2019-10-22T05:42:00Z</dcterms:created>
  <dcterms:modified xsi:type="dcterms:W3CDTF">2019-12-11T09:19:00Z</dcterms:modified>
  <cp:category>Legislation,Local_Government,Integrity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2019-08-13T00:00:00Z</vt:filetime>
  </property>
  <property fmtid="{D5CDD505-2E9C-101B-9397-08002B2CF9AE}" pid="3" name="Creator">
    <vt:lpwstr>Acrobat PDFMaker 17 for Word</vt:lpwstr>
  </property>
  <property fmtid="{D5CDD505-2E9C-101B-9397-08002B2CF9AE}" pid="4" name="LastSaved">
    <vt:filetime>2019-08-22T00:00:00Z</vt:filetime>
  </property>
  <property fmtid="{D5CDD505-2E9C-101B-9397-08002B2CF9AE}" pid="5" name="ContentTypeId">
    <vt:lpwstr>0x010100DDE14CFDD070B24F85F5DE43654FF01E</vt:lpwstr>
  </property>
</Properties>
</file>